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jc w:val="left"/>
        <w:rPr>
          <w:rFonts w:hint="default" w:ascii="宋体" w:hAnsi="宋体" w:eastAsia="宋体" w:cs="宋体"/>
          <w:b/>
          <w:bCs/>
          <w:kern w:val="0"/>
          <w:sz w:val="32"/>
          <w:szCs w:val="32"/>
          <w:lang w:val="en-US" w:eastAsia="zh-CN"/>
        </w:rPr>
      </w:pPr>
      <w:r>
        <w:rPr>
          <w:rFonts w:hint="eastAsia" w:ascii="宋体" w:hAnsi="宋体" w:cs="宋体"/>
          <w:b/>
          <w:bCs/>
          <w:kern w:val="0"/>
          <w:sz w:val="32"/>
          <w:szCs w:val="32"/>
          <w:lang w:eastAsia="zh-CN"/>
        </w:rPr>
        <w:t>附件</w:t>
      </w:r>
      <w:r>
        <w:rPr>
          <w:rFonts w:hint="eastAsia" w:ascii="宋体" w:hAnsi="宋体" w:cs="宋体"/>
          <w:b/>
          <w:bCs/>
          <w:kern w:val="0"/>
          <w:sz w:val="32"/>
          <w:szCs w:val="32"/>
          <w:lang w:val="en-US" w:eastAsia="zh-CN"/>
        </w:rPr>
        <w:t>1</w:t>
      </w:r>
    </w:p>
    <w:tbl>
      <w:tblPr>
        <w:tblStyle w:val="6"/>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lang w:eastAsia="zh-CN"/>
              </w:rPr>
              <w:t>（林业科）</w:t>
            </w: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林业支出</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林业科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社会事务管理局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财政投入</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lang w:eastAsia="zh-CN"/>
        </w:rPr>
        <w:t>林业科</w:t>
      </w:r>
      <w:r>
        <w:rPr>
          <w:rFonts w:hint="eastAsia" w:ascii="宋体" w:hAnsi="宋体" w:cs="宋体"/>
          <w:b/>
          <w:bCs/>
          <w:color w:val="auto"/>
          <w:kern w:val="0"/>
          <w:sz w:val="32"/>
          <w:szCs w:val="32"/>
        </w:rPr>
        <w:t>项目支出绩效评价报告</w:t>
      </w:r>
    </w:p>
    <w:p>
      <w:pPr>
        <w:spacing w:line="580" w:lineRule="exact"/>
        <w:rPr>
          <w:rFonts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黑体" w:hAnsi="黑体" w:eastAsia="黑体"/>
          <w:color w:val="auto"/>
          <w:sz w:val="32"/>
          <w:szCs w:val="32"/>
        </w:rPr>
      </w:pPr>
      <w:r>
        <w:rPr>
          <w:rFonts w:hint="eastAsia" w:ascii="黑体" w:hAnsi="黑体" w:eastAsia="黑体"/>
          <w:color w:val="auto"/>
          <w:sz w:val="32"/>
          <w:szCs w:val="32"/>
        </w:rPr>
        <w:t>一、基本情况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（一）项目概况。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 w:hAnsi="仿宋" w:eastAsia="仿宋"/>
          <w:color w:val="auto"/>
          <w:sz w:val="32"/>
          <w:szCs w:val="32"/>
        </w:rPr>
      </w:pPr>
      <w:r>
        <w:rPr>
          <w:rFonts w:hint="eastAsia" w:ascii="仿宋_GB2312" w:hAnsi="Times New Roman" w:eastAsia="仿宋_GB2312" w:cs="Times New Roman"/>
          <w:color w:val="auto"/>
          <w:sz w:val="32"/>
          <w:szCs w:val="32"/>
          <w:lang w:val="en-US" w:eastAsia="zh-CN"/>
        </w:rPr>
        <w:t>对森林资源主要指标年度变化情况进行调查评价</w:t>
      </w:r>
      <w:r>
        <w:rPr>
          <w:rFonts w:hint="eastAsia" w:ascii="仿宋_GB2312" w:eastAsia="仿宋_GB2312" w:cs="Times New Roman"/>
          <w:color w:val="auto"/>
          <w:sz w:val="32"/>
          <w:szCs w:val="32"/>
          <w:lang w:val="en-US" w:eastAsia="zh-CN"/>
        </w:rPr>
        <w:t>、创森内容宣传及方案设计等</w:t>
      </w:r>
      <w:r>
        <w:rPr>
          <w:rFonts w:hint="eastAsia" w:ascii="仿宋_GB2312" w:hAnsi="Times New Roman" w:eastAsia="仿宋_GB2312" w:cs="Times New Roman"/>
          <w:color w:val="auto"/>
          <w:sz w:val="32"/>
          <w:szCs w:val="32"/>
          <w:lang w:val="en-US" w:eastAsia="zh-CN"/>
        </w:rPr>
        <w:t>技术咨询服务费用，</w:t>
      </w:r>
      <w:r>
        <w:rPr>
          <w:rFonts w:hint="eastAsia" w:ascii="仿宋" w:hAnsi="仿宋" w:eastAsia="仿宋"/>
          <w:color w:val="auto"/>
          <w:sz w:val="32"/>
          <w:szCs w:val="32"/>
        </w:rPr>
        <w:t>全部纳入2</w:t>
      </w:r>
      <w:r>
        <w:rPr>
          <w:rFonts w:ascii="仿宋" w:hAnsi="仿宋" w:eastAsia="仿宋"/>
          <w:color w:val="auto"/>
          <w:sz w:val="32"/>
          <w:szCs w:val="32"/>
        </w:rPr>
        <w:t>020</w:t>
      </w:r>
      <w:r>
        <w:rPr>
          <w:rFonts w:hint="eastAsia" w:ascii="仿宋" w:hAnsi="仿宋" w:eastAsia="仿宋"/>
          <w:color w:val="auto"/>
          <w:sz w:val="32"/>
          <w:szCs w:val="32"/>
        </w:rPr>
        <w:t>年部门预算编制范围。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ascii="仿宋_GB2312" w:eastAsia="仿宋_GB2312"/>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20</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3.</w:t>
      </w:r>
      <w:r>
        <w:rPr>
          <w:rFonts w:ascii="仿宋" w:hAnsi="仿宋" w:eastAsia="仿宋"/>
          <w:color w:val="auto"/>
          <w:sz w:val="32"/>
          <w:szCs w:val="32"/>
        </w:rPr>
        <w:t>5</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主要用于</w:t>
      </w:r>
      <w:r>
        <w:rPr>
          <w:rFonts w:hint="eastAsia" w:ascii="仿宋_GB2312" w:hAnsi="Times New Roman" w:eastAsia="仿宋_GB2312" w:cs="Times New Roman"/>
          <w:color w:val="auto"/>
          <w:sz w:val="32"/>
          <w:szCs w:val="32"/>
          <w:lang w:val="en-US" w:eastAsia="zh-CN"/>
        </w:rPr>
        <w:t>2020年度唐山国际旅游岛造林绿化绩效管理考评图表上报项目</w:t>
      </w:r>
      <w:r>
        <w:rPr>
          <w:rFonts w:hint="eastAsia" w:ascii="仿宋_GB2312" w:hAnsi="Times New Roman" w:eastAsia="仿宋_GB2312" w:cs="Times New Roman"/>
          <w:color w:val="auto"/>
          <w:sz w:val="32"/>
          <w:szCs w:val="32"/>
          <w:lang w:eastAsia="zh-CN"/>
        </w:rPr>
        <w:t>和唐山国际旅游岛近海与海岸</w:t>
      </w:r>
      <w:r>
        <w:rPr>
          <w:rFonts w:hint="eastAsia" w:ascii="仿宋_GB2312" w:hAnsi="Times New Roman" w:eastAsia="仿宋_GB2312" w:cs="Times New Roman"/>
          <w:color w:val="auto"/>
          <w:sz w:val="32"/>
          <w:szCs w:val="32"/>
          <w:lang w:val="en-US" w:eastAsia="zh-CN"/>
        </w:rPr>
        <w:t>湿地保护小区建设方案技术咨询服务费用。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项目绩效目标。</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ascii="仿宋" w:hAnsi="仿宋" w:eastAsia="仿宋"/>
          <w:color w:val="auto"/>
          <w:sz w:val="32"/>
          <w:szCs w:val="32"/>
        </w:rPr>
      </w:pPr>
      <w:r>
        <w:rPr>
          <w:rFonts w:hint="eastAsia" w:ascii="仿宋" w:hAnsi="仿宋" w:eastAsia="仿宋"/>
          <w:color w:val="auto"/>
          <w:sz w:val="32"/>
          <w:szCs w:val="32"/>
        </w:rPr>
        <w:t>1、项目绩效目标：上报数据、图表、报告达到省、市要求。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ascii="仿宋_GB2312" w:eastAsia="仿宋_GB2312"/>
          <w:color w:val="auto"/>
          <w:sz w:val="32"/>
          <w:szCs w:val="32"/>
        </w:rPr>
      </w:pPr>
      <w:r>
        <w:rPr>
          <w:rFonts w:ascii="仿宋" w:hAnsi="仿宋" w:eastAsia="仿宋"/>
          <w:color w:val="auto"/>
          <w:sz w:val="32"/>
          <w:szCs w:val="32"/>
        </w:rPr>
        <w:t>2</w:t>
      </w:r>
      <w:r>
        <w:rPr>
          <w:rFonts w:hint="eastAsia" w:ascii="仿宋" w:hAnsi="仿宋" w:eastAsia="仿宋"/>
          <w:color w:val="auto"/>
          <w:sz w:val="32"/>
          <w:szCs w:val="32"/>
        </w:rPr>
        <w:t>、阶段性目标：</w:t>
      </w:r>
      <w:r>
        <w:rPr>
          <w:rFonts w:hint="eastAsia" w:ascii="仿宋_GB2312" w:hAnsi="Times New Roman" w:eastAsia="仿宋_GB2312" w:cs="Times New Roman"/>
          <w:color w:val="auto"/>
          <w:sz w:val="32"/>
          <w:szCs w:val="32"/>
          <w:lang w:val="en-US" w:eastAsia="zh-CN"/>
        </w:rPr>
        <w:t>2020年度唐山国际旅游岛造林绿化绩效管理考评图表上报项目</w:t>
      </w:r>
      <w:r>
        <w:rPr>
          <w:rFonts w:hint="eastAsia" w:ascii="仿宋_GB2312" w:hAnsi="Times New Roman" w:eastAsia="仿宋_GB2312" w:cs="Times New Roman"/>
          <w:color w:val="auto"/>
          <w:sz w:val="32"/>
          <w:szCs w:val="32"/>
          <w:lang w:eastAsia="zh-CN"/>
        </w:rPr>
        <w:t>和唐山国际旅游岛近海与海岸</w:t>
      </w:r>
      <w:r>
        <w:rPr>
          <w:rFonts w:hint="eastAsia" w:ascii="仿宋_GB2312" w:hAnsi="Times New Roman" w:eastAsia="仿宋_GB2312" w:cs="Times New Roman"/>
          <w:color w:val="auto"/>
          <w:sz w:val="32"/>
          <w:szCs w:val="32"/>
          <w:lang w:val="en-US" w:eastAsia="zh-CN"/>
        </w:rPr>
        <w:t>湿地保护小区建设方案</w:t>
      </w:r>
      <w:r>
        <w:rPr>
          <w:rFonts w:hint="eastAsia" w:ascii="仿宋_GB2312" w:eastAsia="仿宋_GB2312" w:cs="Times New Roman"/>
          <w:color w:val="auto"/>
          <w:sz w:val="32"/>
          <w:szCs w:val="32"/>
          <w:lang w:val="en-US" w:eastAsia="zh-CN"/>
        </w:rPr>
        <w:t>技术咨询服务满意度达到95%以上</w:t>
      </w:r>
      <w:r>
        <w:rPr>
          <w:rFonts w:hint="eastAsia" w:ascii="仿宋" w:hAnsi="仿宋" w:eastAsia="仿宋"/>
          <w:color w:val="auto"/>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黑体" w:hAnsi="黑体" w:eastAsia="黑体"/>
          <w:color w:val="auto"/>
          <w:sz w:val="32"/>
          <w:szCs w:val="32"/>
        </w:rPr>
      </w:pPr>
      <w:r>
        <w:rPr>
          <w:rFonts w:hint="eastAsia" w:ascii="黑体" w:hAnsi="黑体" w:eastAsia="黑体"/>
          <w:color w:val="auto"/>
          <w:sz w:val="32"/>
          <w:szCs w:val="32"/>
        </w:rPr>
        <w:t>二、绩效评价工作开展情况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z w:val="32"/>
          <w:szCs w:val="32"/>
          <w:lang w:val="en-US" w:eastAsia="zh-CN"/>
        </w:rPr>
      </w:pPr>
      <w:r>
        <w:rPr>
          <w:rFonts w:hint="eastAsia" w:ascii="仿宋" w:hAnsi="仿宋" w:eastAsia="仿宋"/>
          <w:color w:val="auto"/>
          <w:sz w:val="32"/>
          <w:szCs w:val="32"/>
          <w:lang w:eastAsia="zh-CN"/>
        </w:rPr>
        <w:t>以</w:t>
      </w:r>
      <w:r>
        <w:rPr>
          <w:rFonts w:hint="eastAsia" w:ascii="仿宋" w:hAnsi="仿宋" w:eastAsia="仿宋"/>
          <w:color w:val="auto"/>
          <w:sz w:val="32"/>
          <w:szCs w:val="32"/>
        </w:rPr>
        <w:t>上报数据、图表、报告</w:t>
      </w:r>
      <w:r>
        <w:rPr>
          <w:rFonts w:hint="eastAsia" w:ascii="仿宋" w:hAnsi="仿宋" w:eastAsia="仿宋"/>
          <w:color w:val="auto"/>
          <w:sz w:val="32"/>
          <w:szCs w:val="32"/>
          <w:lang w:eastAsia="zh-CN"/>
        </w:rPr>
        <w:t>要求的资质条件，</w:t>
      </w:r>
      <w:r>
        <w:rPr>
          <w:rFonts w:hint="eastAsia" w:ascii="仿宋_GB2312" w:hAnsi="Times New Roman" w:eastAsia="仿宋_GB2312" w:cs="Times New Roman"/>
          <w:color w:val="auto"/>
          <w:sz w:val="32"/>
          <w:szCs w:val="32"/>
          <w:lang w:val="en-US" w:eastAsia="zh-CN"/>
        </w:rPr>
        <w:t>认真</w:t>
      </w:r>
      <w:r>
        <w:rPr>
          <w:rFonts w:hint="eastAsia" w:ascii="仿宋_GB2312" w:eastAsia="仿宋_GB2312" w:cs="Times New Roman"/>
          <w:color w:val="auto"/>
          <w:sz w:val="32"/>
          <w:szCs w:val="32"/>
          <w:lang w:val="en-US" w:eastAsia="zh-CN"/>
        </w:rPr>
        <w:t>选择技术咨询单位，确保出具的数据、图表、报告质量</w:t>
      </w:r>
      <w:r>
        <w:rPr>
          <w:rFonts w:hint="eastAsia" w:ascii="仿宋_GB2312" w:hAnsi="Times New Roman" w:eastAsia="仿宋_GB2312" w:cs="Times New Roman"/>
          <w:color w:val="auto"/>
          <w:sz w:val="32"/>
          <w:szCs w:val="32"/>
          <w:lang w:val="en-US"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640" w:firstLineChars="200"/>
        <w:jc w:val="both"/>
        <w:textAlignment w:val="auto"/>
        <w:rPr>
          <w:rFonts w:ascii="仿宋" w:hAnsi="仿宋" w:eastAsia="仿宋" w:cs="宋体"/>
          <w:color w:val="auto"/>
          <w:kern w:val="0"/>
          <w:sz w:val="32"/>
          <w:szCs w:val="32"/>
        </w:rPr>
      </w:pPr>
      <w:r>
        <w:rPr>
          <w:rFonts w:hint="eastAsia" w:ascii="仿宋" w:hAnsi="仿宋" w:eastAsia="仿宋" w:cs="宋体"/>
          <w:color w:val="auto"/>
          <w:kern w:val="0"/>
          <w:sz w:val="32"/>
          <w:szCs w:val="32"/>
        </w:rPr>
        <w:t>各项专项资金都安排责任人，按专项资金的用途专款专用。</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both"/>
        <w:textAlignment w:val="auto"/>
        <w:rPr>
          <w:rFonts w:hint="eastAsia" w:ascii="仿宋_GB2312" w:eastAsia="仿宋_GB2312"/>
          <w:color w:val="auto"/>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olor w:val="auto"/>
          <w:sz w:val="32"/>
          <w:szCs w:val="32"/>
        </w:rPr>
      </w:pPr>
      <w:r>
        <w:rPr>
          <w:rFonts w:hint="eastAsia" w:ascii="黑体" w:hAnsi="黑体" w:eastAsia="黑体"/>
          <w:color w:val="auto"/>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olor w:val="auto"/>
          <w:sz w:val="32"/>
          <w:szCs w:val="32"/>
        </w:rPr>
      </w:pPr>
      <w:r>
        <w:rPr>
          <w:rFonts w:ascii="仿宋" w:hAnsi="仿宋" w:eastAsia="仿宋"/>
          <w:color w:val="auto"/>
          <w:sz w:val="32"/>
          <w:szCs w:val="32"/>
        </w:rPr>
        <w:t>2020年</w:t>
      </w:r>
      <w:r>
        <w:rPr>
          <w:rFonts w:hint="eastAsia" w:ascii="仿宋" w:hAnsi="仿宋" w:eastAsia="仿宋"/>
          <w:color w:val="auto"/>
          <w:sz w:val="32"/>
          <w:szCs w:val="32"/>
          <w:lang w:eastAsia="zh-CN"/>
        </w:rPr>
        <w:t>林业专项</w:t>
      </w:r>
      <w:r>
        <w:rPr>
          <w:rFonts w:ascii="仿宋" w:hAnsi="仿宋" w:eastAsia="仿宋"/>
          <w:color w:val="auto"/>
          <w:sz w:val="32"/>
          <w:szCs w:val="32"/>
        </w:rPr>
        <w:t>工作项目绩效目标明确，资金到位及时，项目实施过程中严格按照市有关项目管理和经费管理规定执行。全年</w:t>
      </w:r>
      <w:r>
        <w:rPr>
          <w:rFonts w:hint="eastAsia" w:ascii="仿宋" w:hAnsi="仿宋" w:eastAsia="仿宋"/>
          <w:color w:val="auto"/>
          <w:sz w:val="32"/>
          <w:szCs w:val="32"/>
          <w:lang w:eastAsia="zh-CN"/>
        </w:rPr>
        <w:t>完成技术咨询</w:t>
      </w:r>
      <w:r>
        <w:rPr>
          <w:rFonts w:hint="eastAsia" w:ascii="仿宋" w:hAnsi="仿宋" w:eastAsia="仿宋"/>
          <w:color w:val="auto"/>
          <w:sz w:val="32"/>
          <w:szCs w:val="32"/>
          <w:lang w:val="en-US" w:eastAsia="zh-CN"/>
        </w:rPr>
        <w:t>2次</w:t>
      </w:r>
      <w:r>
        <w:rPr>
          <w:rFonts w:hint="eastAsia" w:ascii="仿宋" w:hAnsi="仿宋" w:eastAsia="仿宋"/>
          <w:color w:val="auto"/>
          <w:sz w:val="32"/>
          <w:szCs w:val="32"/>
          <w:lang w:eastAsia="zh-CN"/>
        </w:rPr>
        <w:t>，</w:t>
      </w:r>
      <w:r>
        <w:rPr>
          <w:rFonts w:ascii="仿宋" w:hAnsi="仿宋" w:eastAsia="仿宋"/>
          <w:color w:val="auto"/>
          <w:sz w:val="32"/>
          <w:szCs w:val="32"/>
        </w:rPr>
        <w:t>目的达成率</w:t>
      </w:r>
      <w:r>
        <w:rPr>
          <w:rFonts w:hint="eastAsia" w:ascii="仿宋" w:hAnsi="仿宋" w:eastAsia="仿宋"/>
          <w:color w:val="auto"/>
          <w:sz w:val="32"/>
          <w:szCs w:val="32"/>
          <w:lang w:val="en-US" w:eastAsia="zh-CN"/>
        </w:rPr>
        <w:t>100</w:t>
      </w:r>
      <w:r>
        <w:rPr>
          <w:rFonts w:ascii="仿宋" w:hAnsi="仿宋" w:eastAsia="仿宋"/>
          <w:color w:val="auto"/>
          <w:sz w:val="32"/>
          <w:szCs w:val="32"/>
        </w:rPr>
        <w:t>%。经评价，2020年</w:t>
      </w:r>
      <w:r>
        <w:rPr>
          <w:rFonts w:hint="eastAsia" w:ascii="仿宋" w:hAnsi="仿宋" w:eastAsia="仿宋"/>
          <w:color w:val="auto"/>
          <w:sz w:val="32"/>
          <w:szCs w:val="32"/>
          <w:lang w:eastAsia="zh-CN"/>
        </w:rPr>
        <w:t>林业</w:t>
      </w:r>
      <w:r>
        <w:rPr>
          <w:rFonts w:ascii="仿宋" w:hAnsi="仿宋" w:eastAsia="仿宋"/>
          <w:color w:val="auto"/>
          <w:sz w:val="32"/>
          <w:szCs w:val="32"/>
        </w:rPr>
        <w:t>工作项目绩效评价为：优（</w:t>
      </w:r>
      <w:r>
        <w:rPr>
          <w:rFonts w:hint="eastAsia" w:ascii="仿宋" w:hAnsi="仿宋" w:eastAsia="仿宋"/>
          <w:color w:val="auto"/>
          <w:sz w:val="32"/>
          <w:szCs w:val="32"/>
          <w:lang w:val="en-US" w:eastAsia="zh-CN"/>
        </w:rPr>
        <w:t>100</w:t>
      </w:r>
      <w:r>
        <w:rPr>
          <w:rFonts w:ascii="仿宋" w:hAnsi="仿宋" w:eastAsia="仿宋"/>
          <w:color w:val="auto"/>
          <w:sz w:val="32"/>
          <w:szCs w:val="32"/>
        </w:rPr>
        <w:t xml:space="preserve"> 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黑体" w:hAnsi="黑体" w:eastAsia="黑体"/>
          <w:color w:val="auto"/>
          <w:sz w:val="32"/>
          <w:szCs w:val="32"/>
        </w:rPr>
      </w:pPr>
      <w:r>
        <w:rPr>
          <w:rFonts w:hint="eastAsia" w:ascii="黑体" w:hAnsi="黑体" w:eastAsia="黑体"/>
          <w:color w:val="auto"/>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（一）项目决策情况。</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宋体" w:hAnsi="宋体" w:eastAsia="宋体" w:cs="宋体"/>
          <w:i w:val="0"/>
          <w:caps w:val="0"/>
          <w:color w:val="auto"/>
          <w:spacing w:val="0"/>
          <w:sz w:val="21"/>
          <w:szCs w:val="21"/>
        </w:rPr>
      </w:pPr>
      <w:r>
        <w:rPr>
          <w:rFonts w:hint="eastAsia" w:ascii="仿宋" w:hAnsi="仿宋" w:eastAsia="仿宋" w:cs="Times New Roman"/>
          <w:color w:val="auto"/>
          <w:kern w:val="2"/>
          <w:sz w:val="32"/>
          <w:szCs w:val="32"/>
          <w:lang w:val="en-US" w:eastAsia="zh-CN" w:bidi="ar-SA"/>
        </w:rPr>
        <w:t>根据财政部门的相关要求和规定，在专项资金执行前，认真做好预算评审工作。评价项目的必要性、可行性和资金使用的科学性，确保资金能够得到有效使用。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（二）项目过程情况。</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32"/>
          <w:szCs w:val="32"/>
          <w:lang w:val="en-US" w:eastAsia="zh-CN" w:bidi="ar-SA"/>
        </w:rPr>
        <w:t>依据财政采购项目，严格按程序使用资金，确保资金使用程序符合要求。严格按照资金管理各项规定加强专项资金监管，根据项目合同确定的实施进度情况，向财政申请拨付资金。整个专项资金从申报立项到执行结束的监管过程严格规范、程序合规。</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项目产出情况。</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本次评价</w:t>
      </w:r>
      <w:r>
        <w:rPr>
          <w:rFonts w:hint="eastAsia" w:ascii="仿宋" w:hAnsi="仿宋" w:eastAsia="仿宋" w:cs="仿宋"/>
          <w:i w:val="0"/>
          <w:caps w:val="0"/>
          <w:color w:val="auto"/>
          <w:spacing w:val="0"/>
          <w:sz w:val="32"/>
          <w:szCs w:val="32"/>
          <w:shd w:val="clear" w:fill="FFFFFF"/>
          <w:lang w:val="en-US" w:eastAsia="zh-CN"/>
        </w:rPr>
        <w:t>2</w:t>
      </w:r>
      <w:r>
        <w:rPr>
          <w:rFonts w:hint="eastAsia" w:ascii="仿宋" w:hAnsi="仿宋" w:eastAsia="仿宋" w:cs="仿宋"/>
          <w:i w:val="0"/>
          <w:caps w:val="0"/>
          <w:color w:val="auto"/>
          <w:spacing w:val="0"/>
          <w:sz w:val="32"/>
          <w:szCs w:val="32"/>
          <w:shd w:val="clear" w:fill="FFFFFF"/>
        </w:rPr>
        <w:t>个项目得分全部</w:t>
      </w:r>
      <w:r>
        <w:rPr>
          <w:rFonts w:hint="eastAsia" w:ascii="仿宋" w:hAnsi="仿宋" w:eastAsia="仿宋" w:cs="仿宋"/>
          <w:i w:val="0"/>
          <w:caps w:val="0"/>
          <w:color w:val="auto"/>
          <w:spacing w:val="0"/>
          <w:sz w:val="32"/>
          <w:szCs w:val="32"/>
          <w:shd w:val="clear" w:fill="FFFFFF"/>
          <w:lang w:eastAsia="zh-CN"/>
        </w:rPr>
        <w:t>为</w:t>
      </w:r>
      <w:r>
        <w:rPr>
          <w:rFonts w:hint="eastAsia" w:ascii="仿宋" w:hAnsi="仿宋" w:eastAsia="仿宋" w:cs="仿宋"/>
          <w:i w:val="0"/>
          <w:caps w:val="0"/>
          <w:color w:val="auto"/>
          <w:spacing w:val="0"/>
          <w:sz w:val="32"/>
          <w:szCs w:val="32"/>
          <w:shd w:val="clear" w:fill="FFFFFF"/>
        </w:rPr>
        <w:t>100%，完成设定的绩效目标。严格执行行政事业单位财务制度，核算真实、完整、及时，支出审批程序严谨，均能达到项目建设的质量要求。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0"/>
        <w:rPr>
          <w:rFonts w:hint="default"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确保了项目材料准确、及时上报，顺利通过省市林业主管部门复查。</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olor w:val="auto"/>
          <w:sz w:val="32"/>
          <w:szCs w:val="32"/>
        </w:rPr>
      </w:pPr>
      <w:r>
        <w:rPr>
          <w:rFonts w:hint="eastAsia" w:ascii="黑体" w:hAnsi="黑体" w:eastAsia="黑体"/>
          <w:color w:val="auto"/>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仿宋" w:hAnsi="仿宋" w:eastAsia="仿宋"/>
          <w:color w:val="auto"/>
          <w:sz w:val="32"/>
          <w:szCs w:val="32"/>
        </w:rPr>
      </w:pPr>
      <w:r>
        <w:rPr>
          <w:rFonts w:ascii="仿宋" w:hAnsi="仿宋" w:eastAsia="仿宋"/>
          <w:color w:val="auto"/>
          <w:sz w:val="32"/>
          <w:szCs w:val="32"/>
        </w:rPr>
        <w:t xml:space="preserve">（一）主要经验及做法 </w:t>
      </w:r>
      <w:r>
        <w:rPr>
          <w:rFonts w:hint="eastAsia" w:ascii="仿宋" w:hAnsi="仿宋" w:eastAsia="仿宋"/>
          <w:color w:val="auto"/>
          <w:sz w:val="32"/>
          <w:szCs w:val="32"/>
        </w:rPr>
        <w:t>：</w:t>
      </w:r>
      <w:r>
        <w:rPr>
          <w:rFonts w:ascii="仿宋" w:hAnsi="仿宋" w:eastAsia="仿宋"/>
          <w:color w:val="auto"/>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color w:val="auto"/>
          <w:sz w:val="32"/>
          <w:szCs w:val="32"/>
        </w:rPr>
        <w:t>。</w:t>
      </w:r>
      <w:r>
        <w:rPr>
          <w:rFonts w:ascii="仿宋" w:hAnsi="仿宋" w:eastAsia="仿宋"/>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z w:val="32"/>
          <w:szCs w:val="32"/>
          <w:lang w:val="en-US" w:eastAsia="zh-CN"/>
        </w:rPr>
      </w:pPr>
      <w:r>
        <w:rPr>
          <w:rFonts w:ascii="仿宋" w:hAnsi="仿宋" w:eastAsia="仿宋"/>
          <w:color w:val="auto"/>
          <w:sz w:val="32"/>
          <w:szCs w:val="32"/>
        </w:rPr>
        <w:t>（二）存在问题</w:t>
      </w:r>
      <w:r>
        <w:rPr>
          <w:rFonts w:hint="eastAsia" w:ascii="仿宋" w:hAnsi="仿宋" w:eastAsia="仿宋"/>
          <w:color w:val="auto"/>
          <w:sz w:val="32"/>
          <w:szCs w:val="32"/>
        </w:rPr>
        <w:t>：</w:t>
      </w:r>
      <w:r>
        <w:rPr>
          <w:rFonts w:hint="eastAsia" w:ascii="仿宋_GB2312" w:hAnsi="Times New Roman" w:eastAsia="仿宋_GB2312" w:cs="Times New Roman"/>
          <w:color w:val="auto"/>
          <w:sz w:val="32"/>
          <w:szCs w:val="32"/>
          <w:lang w:val="en-US" w:eastAsia="zh-CN"/>
        </w:rPr>
        <w:t>项目的组织实施和财务管理制度方面距离绩效评价的要求有一定差距。</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olor w:val="auto"/>
          <w:sz w:val="32"/>
          <w:szCs w:val="32"/>
        </w:rPr>
      </w:pPr>
      <w:r>
        <w:rPr>
          <w:rFonts w:hint="eastAsia" w:ascii="黑体" w:hAnsi="黑体" w:eastAsia="黑体"/>
          <w:color w:val="auto"/>
          <w:sz w:val="32"/>
          <w:szCs w:val="32"/>
        </w:rPr>
        <w:t>六、有关建议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1、进一步加大林业生态资金的跟踪评价，让林业生态恢复助力环境保护和生态文明建设。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2</w:t>
      </w:r>
      <w:r>
        <w:rPr>
          <w:rFonts w:hint="eastAsia" w:ascii="仿宋" w:hAnsi="仿宋" w:eastAsia="仿宋"/>
          <w:color w:val="auto"/>
          <w:sz w:val="32"/>
          <w:szCs w:val="32"/>
          <w:lang w:eastAsia="zh-CN"/>
        </w:rPr>
        <w:t>、</w:t>
      </w:r>
      <w:r>
        <w:rPr>
          <w:rFonts w:hint="eastAsia" w:ascii="仿宋" w:hAnsi="仿宋" w:eastAsia="仿宋"/>
          <w:color w:val="auto"/>
          <w:sz w:val="32"/>
          <w:szCs w:val="32"/>
        </w:rPr>
        <w:t>建议缩短林业生态项目申报批复时间，便于项目早筹措，早安排、早开工建设，资金及时发放到位，促进地方经济发展。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仿宋_GB2312" w:eastAsia="仿宋_GB2312"/>
          <w:bCs/>
          <w:color w:val="auto"/>
          <w:sz w:val="32"/>
          <w:szCs w:val="32"/>
        </w:rPr>
      </w:pPr>
      <w:r>
        <w:rPr>
          <w:rFonts w:hint="eastAsia" w:ascii="黑体" w:hAnsi="黑体" w:eastAsia="黑体"/>
          <w:color w:val="auto"/>
          <w:sz w:val="32"/>
          <w:szCs w:val="32"/>
        </w:rPr>
        <w:t>七、其他需要说明的问题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ascii="仿宋_GB2312" w:eastAsia="仿宋_GB2312"/>
          <w:color w:val="auto"/>
          <w:sz w:val="32"/>
          <w:szCs w:val="32"/>
        </w:rPr>
      </w:pPr>
      <w:r>
        <w:rPr>
          <w:rFonts w:hint="eastAsia" w:ascii="仿宋" w:hAnsi="仿宋" w:eastAsia="仿宋"/>
          <w:color w:val="auto"/>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F1DB6"/>
    <w:multiLevelType w:val="singleLevel"/>
    <w:tmpl w:val="147F1DB6"/>
    <w:lvl w:ilvl="0" w:tentative="0">
      <w:start w:val="2"/>
      <w:numFmt w:val="chineseCounting"/>
      <w:suff w:val="nothing"/>
      <w:lvlText w:val="（%1）"/>
      <w:lvlJc w:val="left"/>
      <w:rPr>
        <w:rFonts w:hint="eastAsia"/>
      </w:rPr>
    </w:lvl>
  </w:abstractNum>
  <w:abstractNum w:abstractNumId="1">
    <w:nsid w:val="24E8CDFD"/>
    <w:multiLevelType w:val="singleLevel"/>
    <w:tmpl w:val="24E8CDFD"/>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996758B"/>
    <w:rsid w:val="1AFE3FED"/>
    <w:rsid w:val="1C442C51"/>
    <w:rsid w:val="1DC24F9A"/>
    <w:rsid w:val="20B954DA"/>
    <w:rsid w:val="22063947"/>
    <w:rsid w:val="25974E59"/>
    <w:rsid w:val="295B2DEC"/>
    <w:rsid w:val="320F4D9B"/>
    <w:rsid w:val="339E6573"/>
    <w:rsid w:val="389E00A4"/>
    <w:rsid w:val="3AEC43A8"/>
    <w:rsid w:val="3DD24103"/>
    <w:rsid w:val="3F1C0BCF"/>
    <w:rsid w:val="40B36312"/>
    <w:rsid w:val="428155B6"/>
    <w:rsid w:val="45C57431"/>
    <w:rsid w:val="46B41D9E"/>
    <w:rsid w:val="49874FB1"/>
    <w:rsid w:val="4AA16EC6"/>
    <w:rsid w:val="4AD51C5B"/>
    <w:rsid w:val="539E448E"/>
    <w:rsid w:val="54621258"/>
    <w:rsid w:val="56127CD9"/>
    <w:rsid w:val="568E31D7"/>
    <w:rsid w:val="59633DCD"/>
    <w:rsid w:val="59666823"/>
    <w:rsid w:val="5B2517CA"/>
    <w:rsid w:val="5B3F508F"/>
    <w:rsid w:val="5C4131A4"/>
    <w:rsid w:val="5DFB70AF"/>
    <w:rsid w:val="63FD246F"/>
    <w:rsid w:val="656F3766"/>
    <w:rsid w:val="685B4680"/>
    <w:rsid w:val="6DC26FF5"/>
    <w:rsid w:val="6ED95550"/>
    <w:rsid w:val="6F3434CF"/>
    <w:rsid w:val="6FE567D6"/>
    <w:rsid w:val="742B44C5"/>
    <w:rsid w:val="785A27D3"/>
    <w:rsid w:val="794D00D2"/>
    <w:rsid w:val="7969230F"/>
    <w:rsid w:val="7B756A5A"/>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kern w:val="0"/>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批注框文本 Char"/>
    <w:link w:val="2"/>
    <w:semiHidden/>
    <w:qFormat/>
    <w:uiPriority w:val="99"/>
    <w:rPr>
      <w:rFonts w:ascii="Times New Roman" w:hAnsi="Times New Roman"/>
      <w:kern w:val="2"/>
      <w:sz w:val="18"/>
      <w:szCs w:val="18"/>
    </w:rPr>
  </w:style>
  <w:style w:type="character" w:customStyle="1" w:styleId="9">
    <w:name w:val="页脚 Char"/>
    <w:link w:val="3"/>
    <w:qFormat/>
    <w:uiPriority w:val="99"/>
    <w:rPr>
      <w:rFonts w:ascii="Times New Roman" w:hAnsi="Times New Roman" w:eastAsia="宋体" w:cs="Times New Roman"/>
      <w:sz w:val="18"/>
      <w:szCs w:val="18"/>
    </w:rPr>
  </w:style>
  <w:style w:type="character" w:customStyle="1" w:styleId="10">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34</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2021-03-04T00:54:39Z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